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7088" w:right="0" w:hanging="1419"/>
        <w:spacing w:after="0" w:line="240" w:lineRule="auto"/>
        <w:tabs>
          <w:tab w:val="left" w:pos="567" w:leader="none"/>
        </w:tabs>
        <w:rPr>
          <w:rFonts w:ascii="Tinos" w:hAnsi="Tinos" w:cs="Tinos"/>
          <w:bCs/>
          <w:sz w:val="24"/>
          <w:szCs w:val="24"/>
        </w:rPr>
      </w:pPr>
      <w:r>
        <w:rPr>
          <w:rFonts w:ascii="Tinos" w:hAnsi="Tinos" w:eastAsia="Tinos" w:cs="Tinos"/>
          <w:bCs/>
          <w:sz w:val="24"/>
          <w:szCs w:val="24"/>
        </w:rPr>
        <w:t xml:space="preserve">Приложение № 2 </w:t>
      </w:r>
      <w:r>
        <w:rPr>
          <w:rFonts w:ascii="Tinos" w:hAnsi="Tinos" w:eastAsia="Tinos" w:cs="Tinos"/>
          <w:bCs/>
          <w:sz w:val="24"/>
          <w:szCs w:val="24"/>
        </w:rPr>
        <w:t xml:space="preserve">к</w:t>
      </w:r>
      <w:r>
        <w:rPr>
          <w:rFonts w:ascii="Tinos" w:hAnsi="Tinos" w:cs="Tinos"/>
          <w:bCs/>
          <w:sz w:val="24"/>
          <w:szCs w:val="24"/>
        </w:rPr>
      </w:r>
      <w:r>
        <w:rPr>
          <w:rFonts w:ascii="Tinos" w:hAnsi="Tinos" w:cs="Tinos"/>
          <w:bCs/>
          <w:sz w:val="24"/>
          <w:szCs w:val="24"/>
        </w:rPr>
      </w:r>
    </w:p>
    <w:p>
      <w:pPr>
        <w:ind w:left="7088" w:right="0" w:hanging="1419"/>
        <w:spacing w:after="0" w:line="240" w:lineRule="auto"/>
        <w:tabs>
          <w:tab w:val="left" w:pos="567" w:leader="none"/>
        </w:tabs>
        <w:rPr>
          <w:rFonts w:ascii="Tinos" w:hAnsi="Tinos" w:cs="Tinos"/>
          <w:bCs/>
          <w:sz w:val="24"/>
          <w:szCs w:val="24"/>
        </w:rPr>
      </w:pPr>
      <w:r>
        <w:rPr>
          <w:rFonts w:ascii="Tinos" w:hAnsi="Tinos" w:eastAsia="Tinos" w:cs="Tinos"/>
          <w:bCs/>
          <w:sz w:val="24"/>
          <w:szCs w:val="24"/>
        </w:rPr>
        <w:t xml:space="preserve">техническому заданию</w:t>
      </w:r>
      <w:r>
        <w:rPr>
          <w:rFonts w:ascii="Tinos" w:hAnsi="Tinos" w:cs="Tinos"/>
          <w:bCs/>
          <w:sz w:val="24"/>
          <w:szCs w:val="24"/>
        </w:rPr>
      </w:r>
      <w:r>
        <w:rPr>
          <w:rFonts w:ascii="Tinos" w:hAnsi="Tinos" w:cs="Tinos"/>
          <w:bCs/>
          <w:sz w:val="24"/>
          <w:szCs w:val="24"/>
        </w:rPr>
      </w:r>
    </w:p>
    <w:p>
      <w:pPr>
        <w:spacing w:after="0" w:line="240" w:lineRule="auto"/>
        <w:rPr>
          <w:rFonts w:ascii="Times New Roman CYR" w:hAnsi="Times New Roman CYR" w:eastAsia="Calibri" w:cs="Times New Roman CYR"/>
          <w:bCs/>
          <w:sz w:val="26"/>
          <w:szCs w:val="26"/>
        </w:rPr>
      </w:pPr>
      <w:r>
        <w:rPr>
          <w:rFonts w:ascii="Times New Roman CYR" w:hAnsi="Times New Roman CYR" w:eastAsia="Calibri" w:cs="Times New Roman CYR"/>
          <w:bCs/>
          <w:sz w:val="26"/>
          <w:szCs w:val="26"/>
        </w:rPr>
      </w:r>
      <w:r>
        <w:rPr>
          <w:rFonts w:ascii="Times New Roman CYR" w:hAnsi="Times New Roman CYR" w:eastAsia="Calibri" w:cs="Times New Roman CYR"/>
          <w:bCs/>
          <w:sz w:val="26"/>
          <w:szCs w:val="26"/>
        </w:rPr>
      </w:r>
      <w:r>
        <w:rPr>
          <w:rFonts w:ascii="Times New Roman CYR" w:hAnsi="Times New Roman CYR" w:eastAsia="Calibri" w:cs="Times New Roman CYR"/>
          <w:bCs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</w:r>
      <w:r>
        <w:rPr>
          <w:rFonts w:ascii="Times New Roman" w:hAnsi="Times New Roman" w:eastAsia="Calibri" w:cs="Times New Roman"/>
          <w:b/>
          <w:sz w:val="26"/>
          <w:szCs w:val="26"/>
        </w:rPr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Технические характеристики,</w:t>
      </w: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 требования к поставляемой Продукции</w:t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val="04A0" w:firstRow="1" w:lastRow="0" w:firstColumn="1" w:lastColumn="0" w:noHBand="0" w:noVBand="1"/>
      </w:tblPr>
      <w:tblGrid>
        <w:gridCol w:w="643"/>
        <w:gridCol w:w="5235"/>
        <w:gridCol w:w="1621"/>
        <w:gridCol w:w="1840"/>
      </w:tblGrid>
      <w:tr>
        <w:tblPrEx/>
        <w:trPr>
          <w:tblHeader/>
        </w:trPr>
        <w:tc>
          <w:tcPr>
            <w:tcW w:w="34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803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Технические характеристики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(наименование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868" w:type="pct"/>
            <w:vAlign w:val="center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98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4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gridSpan w:val="3"/>
            <w:tcW w:w="465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Аэрозоль от кровососущих насекомых и клещей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4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1.1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8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  <w:highlight w:val="yellow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Соответствует 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ГОСТ 12.4.301-2018</w:t>
            </w:r>
            <w:r>
              <w:rPr>
                <w:rFonts w:ascii="Tinos" w:hAnsi="Tinos" w:eastAsia="Tinos" w:cs="Tinos"/>
                <w:sz w:val="24"/>
                <w:szCs w:val="24"/>
                <w:highlight w:val="yellow"/>
              </w:rPr>
            </w:r>
            <w:r>
              <w:rPr>
                <w:rFonts w:ascii="Tinos" w:hAnsi="Tinos" w:cs="Tinos"/>
                <w:sz w:val="24"/>
                <w:szCs w:val="24"/>
                <w:highlight w:val="yellow"/>
              </w:rPr>
            </w:r>
          </w:p>
        </w:tc>
        <w:tc>
          <w:tcPr>
            <w:tcW w:w="868" w:type="pct"/>
            <w:vAlign w:val="center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4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8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Предназначен для нанесения на открытые участки тела, одежду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868" w:type="pct"/>
            <w:vAlign w:val="center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4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1.3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8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Защита от лесных и таежных клещей, комаров, мокрецов, мошек, слепней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868" w:type="pct"/>
            <w:vAlign w:val="center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4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1.4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8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Нейтрален для кожи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868" w:type="pct"/>
            <w:vAlign w:val="center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4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1.5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8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Не оставляет пятен на одежде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868" w:type="pct"/>
            <w:vAlign w:val="center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4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1.6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8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Время защитного действия при нанесении на кожу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868" w:type="pct"/>
            <w:vAlign w:val="center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более 4-х часов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4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1.7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8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  <w:highlight w:val="white"/>
              </w:rPr>
            </w:pPr>
            <w:r>
              <w:rPr>
                <w:rFonts w:ascii="Tinos" w:hAnsi="Tinos" w:eastAsia="Tinos" w:cs="Tinos"/>
                <w:sz w:val="24"/>
                <w:szCs w:val="24"/>
                <w:highlight w:val="white"/>
              </w:rPr>
              <w:t xml:space="preserve">Форма упаковки –</w:t>
            </w:r>
            <w:r>
              <w:rPr>
                <w:rFonts w:ascii="Tinos" w:hAnsi="Tinos" w:eastAsia="Tinos" w:cs="Tinos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nos" w:hAnsi="Tinos" w:eastAsia="Tinos" w:cs="Tinos"/>
                <w:color w:val="000000"/>
                <w:sz w:val="24"/>
                <w:szCs w:val="24"/>
                <w:highlight w:val="white"/>
                <w:shd w:val="clear" w:color="auto" w:fill="ffffff"/>
              </w:rPr>
              <w:t xml:space="preserve">флакон с насадкой-распылителем</w:t>
            </w:r>
            <w:r>
              <w:rPr>
                <w:rFonts w:ascii="Tinos" w:hAnsi="Tinos" w:eastAsia="Tinos" w:cs="Tinos"/>
                <w:color w:val="000000"/>
                <w:sz w:val="24"/>
                <w:szCs w:val="24"/>
                <w:highlight w:val="white"/>
                <w:shd w:val="clear" w:color="auto" w:fill="ffffff"/>
              </w:rPr>
              <w:t xml:space="preserve"> </w:t>
            </w:r>
            <w:r>
              <w:rPr>
                <w:rFonts w:ascii="Tinos" w:hAnsi="Tinos" w:eastAsia="Tinos" w:cs="Tinos"/>
                <w:sz w:val="24"/>
                <w:szCs w:val="24"/>
                <w:highlight w:val="white"/>
              </w:rPr>
              <w:t xml:space="preserve">или </w:t>
            </w:r>
            <w:r>
              <w:rPr>
                <w:rFonts w:ascii="Tinos" w:hAnsi="Tinos" w:eastAsia="Tinos" w:cs="Tinos"/>
                <w:sz w:val="24"/>
                <w:szCs w:val="24"/>
                <w:highlight w:val="white"/>
              </w:rPr>
              <w:t xml:space="preserve">аэрозольный баллон</w:t>
            </w:r>
            <w:r>
              <w:rPr>
                <w:rFonts w:ascii="Tinos" w:hAnsi="Tinos" w:cs="Tinos"/>
                <w:sz w:val="24"/>
                <w:szCs w:val="24"/>
                <w:highlight w:val="white"/>
              </w:rPr>
            </w:r>
            <w:r>
              <w:rPr>
                <w:rFonts w:ascii="Tinos" w:hAnsi="Tinos" w:cs="Tinos"/>
                <w:sz w:val="24"/>
                <w:szCs w:val="24"/>
                <w:highlight w:val="white"/>
              </w:rPr>
            </w:r>
          </w:p>
        </w:tc>
        <w:tc>
          <w:tcPr>
            <w:tcW w:w="868" w:type="pct"/>
            <w:vAlign w:val="center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4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1.8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8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  <w:highlight w:val="white"/>
              </w:rPr>
            </w:pPr>
            <w:r>
              <w:rPr>
                <w:rFonts w:ascii="Tinos" w:hAnsi="Tinos" w:eastAsia="Tinos" w:cs="Tinos"/>
                <w:sz w:val="24"/>
                <w:szCs w:val="24"/>
                <w:highlight w:val="white"/>
              </w:rPr>
              <w:t xml:space="preserve">Объем, мл</w:t>
            </w:r>
            <w:r>
              <w:rPr>
                <w:rFonts w:ascii="Tinos" w:hAnsi="Tinos" w:cs="Tinos"/>
                <w:sz w:val="24"/>
                <w:szCs w:val="24"/>
                <w:highlight w:val="white"/>
              </w:rPr>
            </w:r>
            <w:r>
              <w:rPr>
                <w:rFonts w:ascii="Tinos" w:hAnsi="Tinos" w:cs="Tinos"/>
                <w:sz w:val="24"/>
                <w:szCs w:val="24"/>
                <w:highlight w:val="white"/>
              </w:rPr>
            </w:r>
          </w:p>
        </w:tc>
        <w:tc>
          <w:tcPr>
            <w:tcW w:w="868" w:type="pct"/>
            <w:vAlign w:val="center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100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4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1.9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8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  <w:highlight w:val="white"/>
              </w:rPr>
            </w:pPr>
            <w:r>
              <w:rPr>
                <w:rFonts w:ascii="Tinos" w:hAnsi="Tinos" w:eastAsia="Tinos" w:cs="Tinos"/>
                <w:sz w:val="24"/>
                <w:szCs w:val="24"/>
                <w:highlight w:val="white"/>
              </w:rPr>
              <w:t xml:space="preserve">Срок годности, начиная с даты поставки на склад Заказчика, не менее</w:t>
            </w:r>
            <w:r>
              <w:rPr>
                <w:rFonts w:ascii="Tinos" w:hAnsi="Tinos" w:cs="Tinos"/>
                <w:sz w:val="24"/>
                <w:szCs w:val="24"/>
                <w:highlight w:val="white"/>
              </w:rPr>
            </w:r>
            <w:r>
              <w:rPr>
                <w:rFonts w:ascii="Tinos" w:hAnsi="Tinos" w:cs="Tinos"/>
                <w:sz w:val="24"/>
                <w:szCs w:val="24"/>
                <w:highlight w:val="white"/>
              </w:rPr>
            </w:r>
          </w:p>
        </w:tc>
        <w:tc>
          <w:tcPr>
            <w:tcW w:w="868" w:type="pct"/>
            <w:vAlign w:val="center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30 месяцев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4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28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Крем для рук гидрофобный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868" w:type="pct"/>
            <w:vAlign w:val="center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4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2.1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8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Соответствует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 ТС 019/2011,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ГОСТ 31460-2012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,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ГОСТ Р 12.4.301-2018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(ГОСТ Р 12.4.302-2018)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Защитный крем гидрофобного действия для персонала, занятого на работах с водными растворами, водой, дезинфицирующими средствами, растворами цемента, извести, кислот, щелочей и другими водорастворимыми материалами, и веществами, включая работы, выполняемые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 резиновых перчатках или перчатках из полимерных материалов, закрытой обуви.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должен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содерж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ать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парабенов, силиконов, красителей.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868" w:type="pct"/>
            <w:vAlign w:val="center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4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2.2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8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Форма упаковки – пластиковая туба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868" w:type="pct"/>
            <w:vAlign w:val="center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4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2.3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8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Объем, мл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868" w:type="pct"/>
            <w:vAlign w:val="center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4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2.4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8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Срок годности, начиная с даты поставки на склад Заказчика, не менее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868" w:type="pct"/>
            <w:vAlign w:val="center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18 месяцев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230"/>
        </w:trPr>
        <w:tc>
          <w:tcPr>
            <w:tcW w:w="34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28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Крем для рук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 гидрофильный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868" w:type="pct"/>
            <w:vAlign w:val="center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4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8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Соответствует ТР ТС 019/2011, ГОСТ 31460-2012,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ГОСТ Р 12.4.301-2018 (ГОСТ Р 12.4.302-2018, ГОСТ 12.4.068-79)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Крем для рук гидрофильного действия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для защиты поверхности кожи с целью предотвращения вредного воздействия на кожу агрессивных промышленных водонерастворимых материалов и веществ.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Не должен содержать парабенов, силиконов, красителей.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868" w:type="pct"/>
            <w:vAlign w:val="center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4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8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Форма выпуска – пластиковая туба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868" w:type="pct"/>
            <w:vAlign w:val="center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4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8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Объем, мл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868" w:type="pct"/>
            <w:vAlign w:val="center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4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8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Срок годности, начиная с даты поставки на склад Заказчика, не менее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868" w:type="pct"/>
            <w:vAlign w:val="center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18 месяцев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4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28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Крем для рук восстанавливающий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868" w:type="pct"/>
            <w:vAlign w:val="center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4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4.1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8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nos" w:hAnsi="Tinos" w:cs="Tinos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Соответствие </w:t>
            </w:r>
            <w:r>
              <w:rPr>
                <w:rFonts w:ascii="Tinos" w:hAnsi="Tinos" w:eastAsia="Tinos" w:cs="Tinos"/>
                <w:color w:val="000000"/>
                <w:sz w:val="24"/>
                <w:szCs w:val="24"/>
                <w:shd w:val="clear" w:color="auto" w:fill="ffffff"/>
              </w:rPr>
              <w:t xml:space="preserve">ТР ТС 019/2011, ГОСТ 31460-2012, ГОСТ Р 12.4.301-2018 (ГОСТ Р 12.4.068-79)</w:t>
            </w:r>
            <w:r>
              <w:rPr>
                <w:rFonts w:ascii="Tinos" w:hAnsi="Tinos" w:cs="Tinos"/>
                <w:color w:val="000000"/>
                <w:sz w:val="24"/>
                <w:szCs w:val="24"/>
                <w:shd w:val="clear" w:color="auto" w:fill="ffffff"/>
              </w:rPr>
            </w:r>
            <w:r>
              <w:rPr>
                <w:rFonts w:ascii="Tinos" w:hAnsi="Tinos" w:cs="Tinos"/>
                <w:color w:val="000000"/>
                <w:sz w:val="24"/>
                <w:szCs w:val="24"/>
                <w:shd w:val="clear" w:color="auto" w:fill="ffffff"/>
              </w:rPr>
            </w:r>
          </w:p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  <w:highlight w:val="white"/>
              </w:rPr>
              <w:t xml:space="preserve">Крем для рук в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осстанавливающий предназначен для восстановления и регенерации кожи рук после воздействия вредных производственных факторов и окружающей среды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Не должен содержать парабенов, силиконов, красителей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868" w:type="pct"/>
            <w:vAlign w:val="center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4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4.2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8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Форма выпуска – пластиковая туба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868" w:type="pct"/>
            <w:vAlign w:val="center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4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8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Объем, мл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868" w:type="pct"/>
            <w:vAlign w:val="center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44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4.4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80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Срок годности, начиная с даты поставки на склад Заказчика, не менее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868" w:type="pct"/>
            <w:vAlign w:val="center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18 месяцев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W w:w="344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80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Крем для защиты рук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 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868" w:type="pct"/>
            <w:vAlign w:val="center"/>
            <w:vMerge w:val="restart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985" w:type="pct"/>
            <w:vMerge w:val="restar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344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80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Соответствие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ТР ТС 019/2011, ГОСТ 31460-2012, ГОСТ Р 12.4.301-2018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Крем для защиты кожи рук, лица и открытых участков тела в условиях низких температур, сопровождающихся ветром, снегом и повышенной влажностью.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Обеспечивает дополнительную защиту от ультрафиолетового излучения.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868" w:type="pct"/>
            <w:vAlign w:val="center"/>
            <w:vMerge w:val="restart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985" w:type="pct"/>
            <w:vMerge w:val="restar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344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80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Форма выпуска – пластиковая туба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868" w:type="pct"/>
            <w:vAlign w:val="center"/>
            <w:vMerge w:val="restart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985" w:type="pct"/>
            <w:vMerge w:val="restar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344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80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Объем, мл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868" w:type="pct"/>
            <w:vAlign w:val="center"/>
            <w:vMerge w:val="restart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985" w:type="pct"/>
            <w:vMerge w:val="restar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344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80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Срок годности, начиная с даты поставки на склад Заказчика, не менее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868" w:type="pct"/>
            <w:vAlign w:val="center"/>
            <w:vMerge w:val="restart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18 месяцев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</w:tc>
        <w:tc>
          <w:tcPr>
            <w:tcW w:w="985" w:type="pct"/>
            <w:vMerge w:val="restar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344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6.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80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Спрей противогрибковый для стоп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868" w:type="pct"/>
            <w:vAlign w:val="center"/>
            <w:vMerge w:val="restart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985" w:type="pct"/>
            <w:vMerge w:val="restar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344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6.1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80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Соответствует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ТР ТС 019/2011, ГОСТ 31679-2012, ГОСТ Р 12.4.301-2018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Спрей предназначен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для снижения избыточного потоотделения кожи стоп и предотвращения появления неприятных запахов при ношении закрытой обуви (защитная обувь, резиновые сапоги и т.д)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</w:tc>
        <w:tc>
          <w:tcPr>
            <w:tcW w:w="868" w:type="pct"/>
            <w:vAlign w:val="center"/>
            <w:vMerge w:val="restart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985" w:type="pct"/>
            <w:vMerge w:val="restar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344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6.2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80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Форма упаковки –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  <w:shd w:val="clear" w:color="auto" w:fill="ffffff"/>
              </w:rPr>
              <w:t xml:space="preserve">флакон с насадкой-распылителем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</w:tc>
        <w:tc>
          <w:tcPr>
            <w:tcW w:w="868" w:type="pct"/>
            <w:vAlign w:val="center"/>
            <w:vMerge w:val="restart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r>
          </w:p>
        </w:tc>
        <w:tc>
          <w:tcPr>
            <w:tcW w:w="985" w:type="pct"/>
            <w:vMerge w:val="restar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344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6.3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80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Объем, мл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</w:tc>
        <w:tc>
          <w:tcPr>
            <w:tcW w:w="868" w:type="pct"/>
            <w:vAlign w:val="center"/>
            <w:vMerge w:val="restart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985" w:type="pct"/>
            <w:vMerge w:val="restar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344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6.4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80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Срок годности, начиная с даты поставки на склад Заказчика, не менее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868" w:type="pct"/>
            <w:vAlign w:val="center"/>
            <w:vMerge w:val="restart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18 месяцев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</w:r>
          </w:p>
        </w:tc>
        <w:tc>
          <w:tcPr>
            <w:tcW w:w="985" w:type="pct"/>
            <w:vMerge w:val="restar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568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00603000000000000"/>
  </w:font>
  <w:font w:name="Tinos">
    <w:panose1 w:val="02020603050405020304"/>
  </w:font>
  <w:font w:name="Tahoma">
    <w:panose1 w:val="020B0606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2">
    <w:name w:val="Heading 1 Char"/>
    <w:basedOn w:val="689"/>
    <w:link w:val="680"/>
    <w:uiPriority w:val="9"/>
    <w:rPr>
      <w:rFonts w:ascii="Arial" w:hAnsi="Arial" w:eastAsia="Arial" w:cs="Arial"/>
      <w:sz w:val="40"/>
      <w:szCs w:val="40"/>
    </w:rPr>
  </w:style>
  <w:style w:type="character" w:styleId="663">
    <w:name w:val="Heading 2 Char"/>
    <w:basedOn w:val="689"/>
    <w:link w:val="681"/>
    <w:uiPriority w:val="9"/>
    <w:rPr>
      <w:rFonts w:ascii="Arial" w:hAnsi="Arial" w:eastAsia="Arial" w:cs="Arial"/>
      <w:sz w:val="34"/>
    </w:rPr>
  </w:style>
  <w:style w:type="character" w:styleId="664">
    <w:name w:val="Heading 3 Char"/>
    <w:basedOn w:val="689"/>
    <w:link w:val="682"/>
    <w:uiPriority w:val="9"/>
    <w:rPr>
      <w:rFonts w:ascii="Arial" w:hAnsi="Arial" w:eastAsia="Arial" w:cs="Arial"/>
      <w:sz w:val="30"/>
      <w:szCs w:val="30"/>
    </w:rPr>
  </w:style>
  <w:style w:type="character" w:styleId="665">
    <w:name w:val="Heading 4 Char"/>
    <w:basedOn w:val="689"/>
    <w:link w:val="683"/>
    <w:uiPriority w:val="9"/>
    <w:rPr>
      <w:rFonts w:ascii="Arial" w:hAnsi="Arial" w:eastAsia="Arial" w:cs="Arial"/>
      <w:b/>
      <w:bCs/>
      <w:sz w:val="26"/>
      <w:szCs w:val="26"/>
    </w:rPr>
  </w:style>
  <w:style w:type="character" w:styleId="666">
    <w:name w:val="Heading 5 Char"/>
    <w:basedOn w:val="689"/>
    <w:link w:val="684"/>
    <w:uiPriority w:val="9"/>
    <w:rPr>
      <w:rFonts w:ascii="Arial" w:hAnsi="Arial" w:eastAsia="Arial" w:cs="Arial"/>
      <w:b/>
      <w:bCs/>
      <w:sz w:val="24"/>
      <w:szCs w:val="24"/>
    </w:rPr>
  </w:style>
  <w:style w:type="character" w:styleId="667">
    <w:name w:val="Heading 6 Char"/>
    <w:basedOn w:val="689"/>
    <w:link w:val="685"/>
    <w:uiPriority w:val="9"/>
    <w:rPr>
      <w:rFonts w:ascii="Arial" w:hAnsi="Arial" w:eastAsia="Arial" w:cs="Arial"/>
      <w:b/>
      <w:bCs/>
      <w:sz w:val="22"/>
      <w:szCs w:val="22"/>
    </w:rPr>
  </w:style>
  <w:style w:type="character" w:styleId="668">
    <w:name w:val="Heading 7 Char"/>
    <w:basedOn w:val="689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8 Char"/>
    <w:basedOn w:val="689"/>
    <w:link w:val="687"/>
    <w:uiPriority w:val="9"/>
    <w:rPr>
      <w:rFonts w:ascii="Arial" w:hAnsi="Arial" w:eastAsia="Arial" w:cs="Arial"/>
      <w:i/>
      <w:iCs/>
      <w:sz w:val="22"/>
      <w:szCs w:val="22"/>
    </w:rPr>
  </w:style>
  <w:style w:type="character" w:styleId="670">
    <w:name w:val="Heading 9 Char"/>
    <w:basedOn w:val="689"/>
    <w:link w:val="688"/>
    <w:uiPriority w:val="9"/>
    <w:rPr>
      <w:rFonts w:ascii="Arial" w:hAnsi="Arial" w:eastAsia="Arial" w:cs="Arial"/>
      <w:i/>
      <w:iCs/>
      <w:sz w:val="21"/>
      <w:szCs w:val="21"/>
    </w:rPr>
  </w:style>
  <w:style w:type="character" w:styleId="671">
    <w:name w:val="Title Char"/>
    <w:basedOn w:val="689"/>
    <w:link w:val="701"/>
    <w:uiPriority w:val="10"/>
    <w:rPr>
      <w:sz w:val="48"/>
      <w:szCs w:val="48"/>
    </w:rPr>
  </w:style>
  <w:style w:type="character" w:styleId="672">
    <w:name w:val="Subtitle Char"/>
    <w:basedOn w:val="689"/>
    <w:link w:val="703"/>
    <w:uiPriority w:val="11"/>
    <w:rPr>
      <w:sz w:val="24"/>
      <w:szCs w:val="24"/>
    </w:rPr>
  </w:style>
  <w:style w:type="character" w:styleId="673">
    <w:name w:val="Quote Char"/>
    <w:link w:val="705"/>
    <w:uiPriority w:val="29"/>
    <w:rPr>
      <w:i/>
    </w:rPr>
  </w:style>
  <w:style w:type="character" w:styleId="674">
    <w:name w:val="Intense Quote Char"/>
    <w:link w:val="707"/>
    <w:uiPriority w:val="30"/>
    <w:rPr>
      <w:i/>
    </w:rPr>
  </w:style>
  <w:style w:type="character" w:styleId="675">
    <w:name w:val="Header Char"/>
    <w:basedOn w:val="689"/>
    <w:link w:val="709"/>
    <w:uiPriority w:val="99"/>
  </w:style>
  <w:style w:type="character" w:styleId="676">
    <w:name w:val="Caption Char"/>
    <w:basedOn w:val="713"/>
    <w:link w:val="711"/>
    <w:uiPriority w:val="99"/>
  </w:style>
  <w:style w:type="character" w:styleId="677">
    <w:name w:val="Footnote Text Char"/>
    <w:link w:val="842"/>
    <w:uiPriority w:val="99"/>
    <w:rPr>
      <w:sz w:val="18"/>
    </w:rPr>
  </w:style>
  <w:style w:type="character" w:styleId="678">
    <w:name w:val="Endnote Text Char"/>
    <w:link w:val="845"/>
    <w:uiPriority w:val="99"/>
    <w:rPr>
      <w:sz w:val="20"/>
    </w:rPr>
  </w:style>
  <w:style w:type="paragraph" w:styleId="679" w:default="1">
    <w:name w:val="Normal"/>
    <w:qFormat/>
  </w:style>
  <w:style w:type="paragraph" w:styleId="680">
    <w:name w:val="Heading 1"/>
    <w:basedOn w:val="679"/>
    <w:next w:val="679"/>
    <w:link w:val="692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81">
    <w:name w:val="Heading 2"/>
    <w:basedOn w:val="679"/>
    <w:next w:val="679"/>
    <w:link w:val="693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82">
    <w:name w:val="Heading 3"/>
    <w:basedOn w:val="679"/>
    <w:next w:val="679"/>
    <w:link w:val="694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83">
    <w:name w:val="Heading 4"/>
    <w:basedOn w:val="679"/>
    <w:next w:val="679"/>
    <w:link w:val="695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4">
    <w:name w:val="Heading 5"/>
    <w:basedOn w:val="679"/>
    <w:next w:val="679"/>
    <w:link w:val="696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5">
    <w:name w:val="Heading 6"/>
    <w:basedOn w:val="679"/>
    <w:next w:val="679"/>
    <w:link w:val="697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86">
    <w:name w:val="Heading 7"/>
    <w:basedOn w:val="679"/>
    <w:next w:val="679"/>
    <w:link w:val="698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87">
    <w:name w:val="Heading 8"/>
    <w:basedOn w:val="679"/>
    <w:next w:val="679"/>
    <w:link w:val="699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88">
    <w:name w:val="Heading 9"/>
    <w:basedOn w:val="679"/>
    <w:next w:val="679"/>
    <w:link w:val="700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 w:default="1">
    <w:name w:val="Default Paragraph Font"/>
    <w:uiPriority w:val="1"/>
    <w:semiHidden/>
    <w:unhideWhenUsed/>
  </w:style>
  <w:style w:type="table" w:styleId="69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1" w:default="1">
    <w:name w:val="No List"/>
    <w:uiPriority w:val="99"/>
    <w:semiHidden/>
    <w:unhideWhenUsed/>
  </w:style>
  <w:style w:type="character" w:styleId="692" w:customStyle="1">
    <w:name w:val="Заголовок 1 Знак"/>
    <w:basedOn w:val="689"/>
    <w:link w:val="680"/>
    <w:uiPriority w:val="9"/>
    <w:rPr>
      <w:rFonts w:ascii="Arial" w:hAnsi="Arial" w:eastAsia="Arial" w:cs="Arial"/>
      <w:sz w:val="40"/>
      <w:szCs w:val="40"/>
    </w:rPr>
  </w:style>
  <w:style w:type="character" w:styleId="693" w:customStyle="1">
    <w:name w:val="Заголовок 2 Знак"/>
    <w:basedOn w:val="689"/>
    <w:link w:val="681"/>
    <w:uiPriority w:val="9"/>
    <w:rPr>
      <w:rFonts w:ascii="Arial" w:hAnsi="Arial" w:eastAsia="Arial" w:cs="Arial"/>
      <w:sz w:val="34"/>
    </w:rPr>
  </w:style>
  <w:style w:type="character" w:styleId="694" w:customStyle="1">
    <w:name w:val="Заголовок 3 Знак"/>
    <w:basedOn w:val="689"/>
    <w:link w:val="682"/>
    <w:uiPriority w:val="9"/>
    <w:rPr>
      <w:rFonts w:ascii="Arial" w:hAnsi="Arial" w:eastAsia="Arial" w:cs="Arial"/>
      <w:sz w:val="30"/>
      <w:szCs w:val="30"/>
    </w:rPr>
  </w:style>
  <w:style w:type="character" w:styleId="695" w:customStyle="1">
    <w:name w:val="Заголовок 4 Знак"/>
    <w:basedOn w:val="689"/>
    <w:link w:val="683"/>
    <w:uiPriority w:val="9"/>
    <w:rPr>
      <w:rFonts w:ascii="Arial" w:hAnsi="Arial" w:eastAsia="Arial" w:cs="Arial"/>
      <w:b/>
      <w:bCs/>
      <w:sz w:val="26"/>
      <w:szCs w:val="26"/>
    </w:rPr>
  </w:style>
  <w:style w:type="character" w:styleId="696" w:customStyle="1">
    <w:name w:val="Заголовок 5 Знак"/>
    <w:basedOn w:val="689"/>
    <w:link w:val="684"/>
    <w:uiPriority w:val="9"/>
    <w:rPr>
      <w:rFonts w:ascii="Arial" w:hAnsi="Arial" w:eastAsia="Arial" w:cs="Arial"/>
      <w:b/>
      <w:bCs/>
      <w:sz w:val="24"/>
      <w:szCs w:val="24"/>
    </w:rPr>
  </w:style>
  <w:style w:type="character" w:styleId="697" w:customStyle="1">
    <w:name w:val="Заголовок 6 Знак"/>
    <w:basedOn w:val="689"/>
    <w:link w:val="685"/>
    <w:uiPriority w:val="9"/>
    <w:rPr>
      <w:rFonts w:ascii="Arial" w:hAnsi="Arial" w:eastAsia="Arial" w:cs="Arial"/>
      <w:b/>
      <w:bCs/>
      <w:sz w:val="22"/>
      <w:szCs w:val="22"/>
    </w:rPr>
  </w:style>
  <w:style w:type="character" w:styleId="698" w:customStyle="1">
    <w:name w:val="Заголовок 7 Знак"/>
    <w:basedOn w:val="689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9" w:customStyle="1">
    <w:name w:val="Заголовок 8 Знак"/>
    <w:basedOn w:val="689"/>
    <w:link w:val="687"/>
    <w:uiPriority w:val="9"/>
    <w:rPr>
      <w:rFonts w:ascii="Arial" w:hAnsi="Arial" w:eastAsia="Arial" w:cs="Arial"/>
      <w:i/>
      <w:iCs/>
      <w:sz w:val="22"/>
      <w:szCs w:val="22"/>
    </w:rPr>
  </w:style>
  <w:style w:type="character" w:styleId="700" w:customStyle="1">
    <w:name w:val="Заголовок 9 Знак"/>
    <w:basedOn w:val="689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Title"/>
    <w:basedOn w:val="679"/>
    <w:next w:val="679"/>
    <w:link w:val="702"/>
    <w:uiPriority w:val="10"/>
    <w:qFormat/>
    <w:pPr>
      <w:contextualSpacing/>
      <w:spacing w:before="300"/>
    </w:pPr>
    <w:rPr>
      <w:sz w:val="48"/>
      <w:szCs w:val="48"/>
    </w:rPr>
  </w:style>
  <w:style w:type="character" w:styleId="702" w:customStyle="1">
    <w:name w:val="Заголовок Знак"/>
    <w:basedOn w:val="689"/>
    <w:link w:val="701"/>
    <w:uiPriority w:val="10"/>
    <w:rPr>
      <w:sz w:val="48"/>
      <w:szCs w:val="48"/>
    </w:rPr>
  </w:style>
  <w:style w:type="paragraph" w:styleId="703">
    <w:name w:val="Subtitle"/>
    <w:basedOn w:val="679"/>
    <w:next w:val="679"/>
    <w:link w:val="704"/>
    <w:uiPriority w:val="11"/>
    <w:qFormat/>
    <w:pPr>
      <w:spacing w:before="200"/>
    </w:pPr>
    <w:rPr>
      <w:sz w:val="24"/>
      <w:szCs w:val="24"/>
    </w:rPr>
  </w:style>
  <w:style w:type="character" w:styleId="704" w:customStyle="1">
    <w:name w:val="Подзаголовок Знак"/>
    <w:basedOn w:val="689"/>
    <w:link w:val="703"/>
    <w:uiPriority w:val="11"/>
    <w:rPr>
      <w:sz w:val="24"/>
      <w:szCs w:val="24"/>
    </w:rPr>
  </w:style>
  <w:style w:type="paragraph" w:styleId="705">
    <w:name w:val="Quote"/>
    <w:basedOn w:val="679"/>
    <w:next w:val="679"/>
    <w:link w:val="706"/>
    <w:uiPriority w:val="29"/>
    <w:qFormat/>
    <w:pPr>
      <w:ind w:left="720" w:right="720"/>
    </w:pPr>
    <w:rPr>
      <w:i/>
    </w:rPr>
  </w:style>
  <w:style w:type="character" w:styleId="706" w:customStyle="1">
    <w:name w:val="Цитата 2 Знак"/>
    <w:link w:val="705"/>
    <w:uiPriority w:val="29"/>
    <w:rPr>
      <w:i/>
    </w:rPr>
  </w:style>
  <w:style w:type="paragraph" w:styleId="707">
    <w:name w:val="Intense Quote"/>
    <w:basedOn w:val="679"/>
    <w:next w:val="679"/>
    <w:link w:val="70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8" w:customStyle="1">
    <w:name w:val="Выделенная цитата Знак"/>
    <w:link w:val="707"/>
    <w:uiPriority w:val="30"/>
    <w:rPr>
      <w:i/>
    </w:rPr>
  </w:style>
  <w:style w:type="paragraph" w:styleId="709">
    <w:name w:val="Header"/>
    <w:basedOn w:val="679"/>
    <w:link w:val="71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0" w:customStyle="1">
    <w:name w:val="Верхний колонтитул Знак"/>
    <w:basedOn w:val="689"/>
    <w:link w:val="709"/>
    <w:uiPriority w:val="99"/>
  </w:style>
  <w:style w:type="paragraph" w:styleId="711">
    <w:name w:val="Footer"/>
    <w:basedOn w:val="679"/>
    <w:link w:val="71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2" w:customStyle="1">
    <w:name w:val="Footer Char"/>
    <w:basedOn w:val="689"/>
    <w:uiPriority w:val="99"/>
  </w:style>
  <w:style w:type="paragraph" w:styleId="713">
    <w:name w:val="Caption"/>
    <w:basedOn w:val="679"/>
    <w:next w:val="679"/>
    <w:link w:val="676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14" w:customStyle="1">
    <w:name w:val="Нижний колонтитул Знак"/>
    <w:link w:val="711"/>
    <w:uiPriority w:val="99"/>
  </w:style>
  <w:style w:type="table" w:styleId="715">
    <w:name w:val="Table Grid"/>
    <w:basedOn w:val="69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6" w:customStyle="1">
    <w:name w:val="Table Grid Light"/>
    <w:basedOn w:val="69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7">
    <w:name w:val="Plain Table 1"/>
    <w:basedOn w:val="69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2"/>
    <w:basedOn w:val="69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3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0">
    <w:name w:val="Plain Table 4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Plain Table 5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2">
    <w:name w:val="Grid Table 1 Light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4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4" w:customStyle="1">
    <w:name w:val="Grid Table 4 - Accent 1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45" w:customStyle="1">
    <w:name w:val="Grid Table 4 - Accent 2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6" w:customStyle="1">
    <w:name w:val="Grid Table 4 - Accent 3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7" w:customStyle="1">
    <w:name w:val="Grid Table 4 - Accent 4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8" w:customStyle="1">
    <w:name w:val="Grid Table 4 - Accent 5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9" w:customStyle="1">
    <w:name w:val="Grid Table 4 - Accent 6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0">
    <w:name w:val="Grid Table 5 Dark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7">
    <w:name w:val="Grid Table 6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8" w:customStyle="1">
    <w:name w:val="Grid Table 6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9" w:customStyle="1">
    <w:name w:val="Grid Table 6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0" w:customStyle="1">
    <w:name w:val="Grid Table 6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1" w:customStyle="1">
    <w:name w:val="Grid Table 6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62" w:customStyle="1">
    <w:name w:val="Grid Table 6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3" w:customStyle="1">
    <w:name w:val="Grid Table 6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4">
    <w:name w:val="Grid Table 7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7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7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7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7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7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1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2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3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4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5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6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85">
    <w:name w:val="List Table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5 Dark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>
    <w:name w:val="List Table 6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7" w:customStyle="1">
    <w:name w:val="List Table 6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8" w:customStyle="1">
    <w:name w:val="List Table 6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9" w:customStyle="1">
    <w:name w:val="List Table 6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0" w:customStyle="1">
    <w:name w:val="List Table 6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11" w:customStyle="1">
    <w:name w:val="List Table 6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12" w:customStyle="1">
    <w:name w:val="List Table 6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13">
    <w:name w:val="List Table 7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7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7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7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7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7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ned - Accent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1" w:customStyle="1">
    <w:name w:val="Lined - Accent 1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2" w:customStyle="1">
    <w:name w:val="Lined - Accent 2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3" w:customStyle="1">
    <w:name w:val="Lined - Accent 3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4" w:customStyle="1">
    <w:name w:val="Lined - Accent 4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5" w:customStyle="1">
    <w:name w:val="Lined - Accent 5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6" w:customStyle="1">
    <w:name w:val="Lined - Accent 6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7" w:customStyle="1">
    <w:name w:val="Bordered &amp; Lined - Accent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8" w:customStyle="1">
    <w:name w:val="Bordered &amp; Lined - Accent 1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9" w:customStyle="1">
    <w:name w:val="Bordered &amp; Lined - Accent 2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0" w:customStyle="1">
    <w:name w:val="Bordered &amp; Lined - Accent 3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1" w:customStyle="1">
    <w:name w:val="Bordered &amp; Lined - Accent 4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2" w:customStyle="1">
    <w:name w:val="Bordered &amp; Lined - Accent 5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3" w:customStyle="1">
    <w:name w:val="Bordered &amp; Lined - Accent 6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4" w:customStyle="1">
    <w:name w:val="Bordered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5" w:customStyle="1">
    <w:name w:val="Bordered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6" w:customStyle="1">
    <w:name w:val="Bordered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7" w:customStyle="1">
    <w:name w:val="Bordered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8" w:customStyle="1">
    <w:name w:val="Bordered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9" w:customStyle="1">
    <w:name w:val="Bordered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0" w:customStyle="1">
    <w:name w:val="Bordered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41">
    <w:name w:val="Hyperlink"/>
    <w:uiPriority w:val="99"/>
    <w:unhideWhenUsed/>
    <w:rPr>
      <w:color w:val="0000ff" w:themeColor="hyperlink"/>
      <w:u w:val="single"/>
    </w:rPr>
  </w:style>
  <w:style w:type="paragraph" w:styleId="842">
    <w:name w:val="footnote text"/>
    <w:basedOn w:val="679"/>
    <w:link w:val="843"/>
    <w:uiPriority w:val="99"/>
    <w:semiHidden/>
    <w:unhideWhenUsed/>
    <w:pPr>
      <w:spacing w:after="40" w:line="240" w:lineRule="auto"/>
    </w:pPr>
    <w:rPr>
      <w:sz w:val="18"/>
    </w:rPr>
  </w:style>
  <w:style w:type="character" w:styleId="843" w:customStyle="1">
    <w:name w:val="Текст сноски Знак"/>
    <w:link w:val="842"/>
    <w:uiPriority w:val="99"/>
    <w:rPr>
      <w:sz w:val="18"/>
    </w:rPr>
  </w:style>
  <w:style w:type="character" w:styleId="844">
    <w:name w:val="footnote reference"/>
    <w:basedOn w:val="689"/>
    <w:uiPriority w:val="99"/>
    <w:unhideWhenUsed/>
    <w:rPr>
      <w:vertAlign w:val="superscript"/>
    </w:rPr>
  </w:style>
  <w:style w:type="paragraph" w:styleId="845">
    <w:name w:val="endnote text"/>
    <w:basedOn w:val="679"/>
    <w:link w:val="846"/>
    <w:uiPriority w:val="99"/>
    <w:semiHidden/>
    <w:unhideWhenUsed/>
    <w:pPr>
      <w:spacing w:after="0" w:line="240" w:lineRule="auto"/>
    </w:pPr>
    <w:rPr>
      <w:sz w:val="20"/>
    </w:rPr>
  </w:style>
  <w:style w:type="character" w:styleId="846" w:customStyle="1">
    <w:name w:val="Текст концевой сноски Знак"/>
    <w:link w:val="845"/>
    <w:uiPriority w:val="99"/>
    <w:rPr>
      <w:sz w:val="20"/>
    </w:rPr>
  </w:style>
  <w:style w:type="character" w:styleId="847">
    <w:name w:val="endnote reference"/>
    <w:basedOn w:val="689"/>
    <w:uiPriority w:val="99"/>
    <w:semiHidden/>
    <w:unhideWhenUsed/>
    <w:rPr>
      <w:vertAlign w:val="superscript"/>
    </w:rPr>
  </w:style>
  <w:style w:type="paragraph" w:styleId="848">
    <w:name w:val="toc 1"/>
    <w:basedOn w:val="679"/>
    <w:next w:val="679"/>
    <w:uiPriority w:val="39"/>
    <w:unhideWhenUsed/>
    <w:pPr>
      <w:spacing w:after="57"/>
    </w:pPr>
  </w:style>
  <w:style w:type="paragraph" w:styleId="849">
    <w:name w:val="toc 2"/>
    <w:basedOn w:val="679"/>
    <w:next w:val="679"/>
    <w:uiPriority w:val="39"/>
    <w:unhideWhenUsed/>
    <w:pPr>
      <w:ind w:left="283"/>
      <w:spacing w:after="57"/>
    </w:pPr>
  </w:style>
  <w:style w:type="paragraph" w:styleId="850">
    <w:name w:val="toc 3"/>
    <w:basedOn w:val="679"/>
    <w:next w:val="679"/>
    <w:uiPriority w:val="39"/>
    <w:unhideWhenUsed/>
    <w:pPr>
      <w:ind w:left="567"/>
      <w:spacing w:after="57"/>
    </w:pPr>
  </w:style>
  <w:style w:type="paragraph" w:styleId="851">
    <w:name w:val="toc 4"/>
    <w:basedOn w:val="679"/>
    <w:next w:val="679"/>
    <w:uiPriority w:val="39"/>
    <w:unhideWhenUsed/>
    <w:pPr>
      <w:ind w:left="850"/>
      <w:spacing w:after="57"/>
    </w:pPr>
  </w:style>
  <w:style w:type="paragraph" w:styleId="852">
    <w:name w:val="toc 5"/>
    <w:basedOn w:val="679"/>
    <w:next w:val="679"/>
    <w:uiPriority w:val="39"/>
    <w:unhideWhenUsed/>
    <w:pPr>
      <w:ind w:left="1134"/>
      <w:spacing w:after="57"/>
    </w:pPr>
  </w:style>
  <w:style w:type="paragraph" w:styleId="853">
    <w:name w:val="toc 6"/>
    <w:basedOn w:val="679"/>
    <w:next w:val="679"/>
    <w:uiPriority w:val="39"/>
    <w:unhideWhenUsed/>
    <w:pPr>
      <w:ind w:left="1417"/>
      <w:spacing w:after="57"/>
    </w:pPr>
  </w:style>
  <w:style w:type="paragraph" w:styleId="854">
    <w:name w:val="toc 7"/>
    <w:basedOn w:val="679"/>
    <w:next w:val="679"/>
    <w:uiPriority w:val="39"/>
    <w:unhideWhenUsed/>
    <w:pPr>
      <w:ind w:left="1701"/>
      <w:spacing w:after="57"/>
    </w:pPr>
  </w:style>
  <w:style w:type="paragraph" w:styleId="855">
    <w:name w:val="toc 8"/>
    <w:basedOn w:val="679"/>
    <w:next w:val="679"/>
    <w:uiPriority w:val="39"/>
    <w:unhideWhenUsed/>
    <w:pPr>
      <w:ind w:left="1984"/>
      <w:spacing w:after="57"/>
    </w:pPr>
  </w:style>
  <w:style w:type="paragraph" w:styleId="856">
    <w:name w:val="toc 9"/>
    <w:basedOn w:val="679"/>
    <w:next w:val="679"/>
    <w:uiPriority w:val="39"/>
    <w:unhideWhenUsed/>
    <w:pPr>
      <w:ind w:left="2268"/>
      <w:spacing w:after="57"/>
    </w:pPr>
  </w:style>
  <w:style w:type="paragraph" w:styleId="857">
    <w:name w:val="TOC Heading"/>
    <w:uiPriority w:val="39"/>
    <w:unhideWhenUsed/>
  </w:style>
  <w:style w:type="paragraph" w:styleId="858">
    <w:name w:val="table of figures"/>
    <w:basedOn w:val="679"/>
    <w:next w:val="679"/>
    <w:uiPriority w:val="99"/>
    <w:unhideWhenUsed/>
    <w:pPr>
      <w:spacing w:after="0"/>
    </w:pPr>
  </w:style>
  <w:style w:type="numbering" w:styleId="859" w:customStyle="1">
    <w:name w:val="Нет списка1"/>
    <w:next w:val="691"/>
    <w:uiPriority w:val="99"/>
    <w:semiHidden/>
    <w:unhideWhenUsed/>
  </w:style>
  <w:style w:type="paragraph" w:styleId="860">
    <w:name w:val="List Paragraph"/>
    <w:basedOn w:val="679"/>
    <w:uiPriority w:val="34"/>
    <w:qFormat/>
    <w:pPr>
      <w:contextualSpacing/>
      <w:ind w:left="720"/>
    </w:pPr>
    <w:rPr>
      <w:rFonts w:ascii="Calibri" w:hAnsi="Calibri" w:eastAsia="Calibri" w:cs="Times New Roman"/>
    </w:rPr>
  </w:style>
  <w:style w:type="character" w:styleId="861" w:customStyle="1">
    <w:name w:val="property_name"/>
    <w:basedOn w:val="689"/>
  </w:style>
  <w:style w:type="character" w:styleId="862" w:customStyle="1">
    <w:name w:val="n-product-spec__name-inner"/>
    <w:basedOn w:val="689"/>
  </w:style>
  <w:style w:type="character" w:styleId="863">
    <w:name w:val="Strong"/>
    <w:basedOn w:val="689"/>
    <w:uiPriority w:val="22"/>
    <w:qFormat/>
    <w:rPr>
      <w:b/>
      <w:bCs/>
    </w:rPr>
  </w:style>
  <w:style w:type="paragraph" w:styleId="864">
    <w:name w:val="Balloon Text"/>
    <w:basedOn w:val="679"/>
    <w:link w:val="865"/>
    <w:uiPriority w:val="99"/>
    <w:semiHidden/>
    <w:unhideWhenUsed/>
    <w:pPr>
      <w:spacing w:after="0" w:line="240" w:lineRule="auto"/>
    </w:pPr>
    <w:rPr>
      <w:rFonts w:ascii="Tahoma" w:hAnsi="Tahoma" w:eastAsia="Calibri" w:cs="Tahoma"/>
      <w:sz w:val="16"/>
      <w:szCs w:val="16"/>
    </w:rPr>
  </w:style>
  <w:style w:type="character" w:styleId="865" w:customStyle="1">
    <w:name w:val="Текст выноски Знак"/>
    <w:basedOn w:val="689"/>
    <w:link w:val="864"/>
    <w:uiPriority w:val="99"/>
    <w:semiHidden/>
    <w:rPr>
      <w:rFonts w:ascii="Tahoma" w:hAnsi="Tahoma" w:eastAsia="Calibri" w:cs="Tahoma"/>
      <w:sz w:val="16"/>
      <w:szCs w:val="16"/>
    </w:rPr>
  </w:style>
  <w:style w:type="paragraph" w:styleId="866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Николаевич Кудрявцев</dc:creator>
  <cp:lastModifiedBy>yaskinaiv</cp:lastModifiedBy>
  <cp:revision>8</cp:revision>
  <dcterms:created xsi:type="dcterms:W3CDTF">2025-03-17T10:17:00Z</dcterms:created>
  <dcterms:modified xsi:type="dcterms:W3CDTF">2025-04-24T08:19:14Z</dcterms:modified>
</cp:coreProperties>
</file>